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80C33" w14:textId="5E92FB0E" w:rsidR="00931131" w:rsidRDefault="001F3F37">
      <w:r>
        <w:rPr>
          <w:noProof/>
        </w:rPr>
        <w:drawing>
          <wp:inline distT="0" distB="0" distL="0" distR="0" wp14:anchorId="16FE51D1" wp14:editId="6F2A58C4">
            <wp:extent cx="640080" cy="320040"/>
            <wp:effectExtent l="0" t="0" r="762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56569242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C63AD4A" w14:textId="77777777" w:rsidR="00931131" w:rsidRDefault="00931131"/>
    <w:p w14:paraId="3664F9A3" w14:textId="4C0704F2" w:rsidR="00931131" w:rsidRDefault="00931131">
      <w:r w:rsidRPr="00F30309">
        <w:rPr>
          <w:b/>
          <w:bCs/>
        </w:rPr>
        <w:t>Job Title:</w:t>
      </w:r>
      <w:r>
        <w:t xml:space="preserve"> Further Education Tutor (SEND experienced preferred)</w:t>
      </w:r>
    </w:p>
    <w:p w14:paraId="20BCF6AF" w14:textId="1F420FE8" w:rsidR="00931131" w:rsidRDefault="00931131">
      <w:r w:rsidRPr="00F30309">
        <w:rPr>
          <w:b/>
          <w:bCs/>
        </w:rPr>
        <w:t>Responsible to:</w:t>
      </w:r>
      <w:r>
        <w:t xml:space="preserve"> Head of Education</w:t>
      </w:r>
    </w:p>
    <w:p w14:paraId="0BF3D8C2" w14:textId="062BEC00" w:rsidR="00931131" w:rsidRPr="00F30309" w:rsidRDefault="00931131">
      <w:pPr>
        <w:rPr>
          <w:b/>
          <w:bCs/>
        </w:rPr>
      </w:pPr>
      <w:r w:rsidRPr="00F30309">
        <w:rPr>
          <w:b/>
          <w:bCs/>
        </w:rPr>
        <w:t>Overview of the role</w:t>
      </w:r>
    </w:p>
    <w:p w14:paraId="2C230031" w14:textId="33CCDF5B" w:rsidR="00931131" w:rsidRDefault="00931131">
      <w:proofErr w:type="spellStart"/>
      <w:r>
        <w:t>Cambian</w:t>
      </w:r>
      <w:proofErr w:type="spellEnd"/>
      <w:r>
        <w:t xml:space="preserve"> </w:t>
      </w:r>
      <w:proofErr w:type="spellStart"/>
      <w:r>
        <w:t>Dilston</w:t>
      </w:r>
      <w:proofErr w:type="spellEnd"/>
      <w:r>
        <w:t xml:space="preserve"> College is a very special place. We offer specialist post-16 education</w:t>
      </w:r>
      <w:r w:rsidR="00302772">
        <w:t>al pathways</w:t>
      </w:r>
      <w:r>
        <w:t xml:space="preserve"> to special school leavers who </w:t>
      </w:r>
      <w:r w:rsidR="00302772">
        <w:t xml:space="preserve">are Preparing for Adulthood and hold a current Education Health and Care Plan. Each young person attends college as a residential or day student, and follows a range of technical and vocational pathways to underpin their accredited and non-accredited learning outcomes. </w:t>
      </w:r>
    </w:p>
    <w:p w14:paraId="2F80AE8E" w14:textId="56CFB897" w:rsidR="00302772" w:rsidRDefault="00302772">
      <w:r>
        <w:t xml:space="preserve">YP have a personalised timetable and alongside working on qualifications they are able to access the rural 9-acre college site to run enterprise activities including an onsite café and working bakery and follow Forest School, animal care and horticulture </w:t>
      </w:r>
      <w:proofErr w:type="gramStart"/>
      <w:r w:rsidR="002A17C6">
        <w:t>land based</w:t>
      </w:r>
      <w:proofErr w:type="gramEnd"/>
      <w:r>
        <w:t xml:space="preserve"> learning activities.</w:t>
      </w:r>
    </w:p>
    <w:p w14:paraId="30468A9F" w14:textId="52F8899F" w:rsidR="00302772" w:rsidRDefault="00302772">
      <w:r>
        <w:t xml:space="preserve">This role plans and delivers learning and assessment to small groups and individuals. Learning is scaffolded </w:t>
      </w:r>
      <w:r w:rsidR="002A17C6">
        <w:t xml:space="preserve">and logically sequenced </w:t>
      </w:r>
      <w:r>
        <w:t xml:space="preserve">to support progress and embed prior learning, allowing personal progress to be acknowledged and recorded routinely. The tutor works closely within a larger teaching team, with teaching assistants and health and social care professionals as well as positive behaviour, nursing and therapy colleagues. We are trauma and therapy informed and use an </w:t>
      </w:r>
      <w:proofErr w:type="spellStart"/>
      <w:proofErr w:type="gramStart"/>
      <w:r>
        <w:t>individuals</w:t>
      </w:r>
      <w:proofErr w:type="spellEnd"/>
      <w:proofErr w:type="gramEnd"/>
      <w:r>
        <w:t xml:space="preserve"> starting points as a baseline for progress. </w:t>
      </w:r>
    </w:p>
    <w:p w14:paraId="0DCFE153" w14:textId="5BC171A4" w:rsidR="00302772" w:rsidRPr="00F30309" w:rsidRDefault="00302772">
      <w:pPr>
        <w:rPr>
          <w:b/>
          <w:bCs/>
        </w:rPr>
      </w:pPr>
      <w:r w:rsidRPr="00F30309">
        <w:rPr>
          <w:b/>
          <w:bCs/>
        </w:rPr>
        <w:t>Responsibilities</w:t>
      </w:r>
    </w:p>
    <w:p w14:paraId="2FB971FA" w14:textId="6988A02F" w:rsidR="00302772" w:rsidRDefault="00302772" w:rsidP="00302772">
      <w:pPr>
        <w:pStyle w:val="ListParagraph"/>
        <w:numPr>
          <w:ilvl w:val="0"/>
          <w:numId w:val="1"/>
        </w:numPr>
      </w:pPr>
      <w:r>
        <w:t xml:space="preserve">Plan for the annual cycle of allocated sessions, and prepare session plans that support each YP to make the progress they are capable of over time. </w:t>
      </w:r>
    </w:p>
    <w:p w14:paraId="03AF4841" w14:textId="373E4F4E" w:rsidR="00302772" w:rsidRDefault="00302772" w:rsidP="00302772">
      <w:pPr>
        <w:pStyle w:val="ListParagraph"/>
        <w:numPr>
          <w:ilvl w:val="0"/>
          <w:numId w:val="1"/>
        </w:numPr>
      </w:pPr>
      <w:r>
        <w:t xml:space="preserve">Personalise and tailor learning using Educational Health and Care Plans to agree session targets which can include both accredited and non-accredited </w:t>
      </w:r>
      <w:proofErr w:type="spellStart"/>
      <w:r>
        <w:t>leraning</w:t>
      </w:r>
      <w:proofErr w:type="spellEnd"/>
      <w:r>
        <w:t xml:space="preserve"> outcomes, and are underpinned with the themes associated with the Preparing for Adulthood guidance.</w:t>
      </w:r>
    </w:p>
    <w:p w14:paraId="67C743E1" w14:textId="5302FD0A" w:rsidR="00302772" w:rsidRDefault="00302772" w:rsidP="00302772">
      <w:pPr>
        <w:pStyle w:val="ListParagraph"/>
        <w:numPr>
          <w:ilvl w:val="0"/>
          <w:numId w:val="1"/>
        </w:numPr>
      </w:pPr>
      <w:r>
        <w:t>Assume the role of personal tutor, helping each YP appreciate their distance travelled supported by communication specialists</w:t>
      </w:r>
      <w:r w:rsidR="002A17C6">
        <w:t xml:space="preserve">, to ensure the feedback learners receive support them to understand what they have achieved and what they need to work on next. </w:t>
      </w:r>
    </w:p>
    <w:p w14:paraId="398F97E3" w14:textId="774FF3E8" w:rsidR="002A17C6" w:rsidRDefault="002A17C6" w:rsidP="00302772">
      <w:pPr>
        <w:pStyle w:val="ListParagraph"/>
        <w:numPr>
          <w:ilvl w:val="0"/>
          <w:numId w:val="1"/>
        </w:numPr>
      </w:pPr>
      <w:r>
        <w:t xml:space="preserve">Work in partnership within a multi-disciplinary team around the YP to ensure they experience a seamless learning and life experience, and that learning opportunities extend into living for residential YP. </w:t>
      </w:r>
    </w:p>
    <w:p w14:paraId="13758B74" w14:textId="1E3D879A" w:rsidR="002A17C6" w:rsidRDefault="002A17C6" w:rsidP="00302772">
      <w:pPr>
        <w:pStyle w:val="ListParagraph"/>
        <w:numPr>
          <w:ilvl w:val="0"/>
          <w:numId w:val="1"/>
        </w:numPr>
      </w:pPr>
      <w:r>
        <w:t xml:space="preserve">Devise individual learning plans (ILPs) linked to their EHCP and attend annual review meetings to share progress and revise plans. </w:t>
      </w:r>
    </w:p>
    <w:p w14:paraId="1522D5C3" w14:textId="4CDFD0A8" w:rsidR="002A17C6" w:rsidRDefault="002A17C6" w:rsidP="00302772">
      <w:pPr>
        <w:pStyle w:val="ListParagraph"/>
        <w:numPr>
          <w:ilvl w:val="0"/>
          <w:numId w:val="1"/>
        </w:numPr>
      </w:pPr>
      <w:r>
        <w:lastRenderedPageBreak/>
        <w:t>Deliver sessions that meet or exceed expected standards consistent with external guidelines</w:t>
      </w:r>
      <w:r w:rsidR="00101C21">
        <w:t>.</w:t>
      </w:r>
    </w:p>
    <w:p w14:paraId="64BC9FBA" w14:textId="6EBFBB74" w:rsidR="00101C21" w:rsidRDefault="00101C21" w:rsidP="00302772">
      <w:pPr>
        <w:pStyle w:val="ListParagraph"/>
        <w:numPr>
          <w:ilvl w:val="0"/>
          <w:numId w:val="1"/>
        </w:numPr>
      </w:pPr>
      <w:r>
        <w:t xml:space="preserve">Ensure currency of educational records including progress made and evidence of assessment with feedback using </w:t>
      </w:r>
      <w:proofErr w:type="spellStart"/>
      <w:r>
        <w:t>Databridge</w:t>
      </w:r>
      <w:proofErr w:type="spellEnd"/>
      <w:r>
        <w:t xml:space="preserve"> and other organisationally approved software.</w:t>
      </w:r>
    </w:p>
    <w:p w14:paraId="224D00C8" w14:textId="0A24D061" w:rsidR="00101C21" w:rsidRDefault="00101C21" w:rsidP="00302772">
      <w:pPr>
        <w:pStyle w:val="ListParagraph"/>
        <w:numPr>
          <w:ilvl w:val="0"/>
          <w:numId w:val="1"/>
        </w:numPr>
      </w:pPr>
      <w:r>
        <w:t xml:space="preserve">Comply with the expectations of quality standards for both accredited and non-accredited learning outcomes. </w:t>
      </w:r>
    </w:p>
    <w:p w14:paraId="0766C4B8" w14:textId="260BD275" w:rsidR="002A17C6" w:rsidRDefault="002A17C6" w:rsidP="00302772">
      <w:pPr>
        <w:pStyle w:val="ListParagraph"/>
        <w:numPr>
          <w:ilvl w:val="0"/>
          <w:numId w:val="1"/>
        </w:numPr>
      </w:pPr>
      <w:r>
        <w:t xml:space="preserve">Create an experience of safety, belonging and trust through a capable environment, using environmental audits to continually review and improve the learner environment to reflect their sensory preferences. </w:t>
      </w:r>
    </w:p>
    <w:p w14:paraId="3E5DA503" w14:textId="2B80C23B" w:rsidR="002A17C6" w:rsidRDefault="002A17C6" w:rsidP="00302772">
      <w:pPr>
        <w:pStyle w:val="ListParagraph"/>
        <w:numPr>
          <w:ilvl w:val="0"/>
          <w:numId w:val="1"/>
        </w:numPr>
      </w:pPr>
      <w:r>
        <w:t>Take an active role in the quality assurance cycle, including the peer learning walks, professional practice networks and in supporting improvements through kind, encouraging and supportive mentoring within a culture of accountability and responsibility reflecting the needs of some of the most vulne</w:t>
      </w:r>
      <w:r w:rsidR="00101C21">
        <w:t>ra</w:t>
      </w:r>
      <w:r>
        <w:t>ble special school leavers</w:t>
      </w:r>
    </w:p>
    <w:p w14:paraId="366E9F17" w14:textId="45190523" w:rsidR="002A17C6" w:rsidRDefault="002A17C6" w:rsidP="00302772">
      <w:pPr>
        <w:pStyle w:val="ListParagraph"/>
        <w:numPr>
          <w:ilvl w:val="0"/>
          <w:numId w:val="1"/>
        </w:numPr>
      </w:pPr>
      <w:r>
        <w:t xml:space="preserve">Support and embed positive behaviour support strategies, and reduce or remove punitive language and responses to behaviours when used as a strategy to communicate. In </w:t>
      </w:r>
      <w:proofErr w:type="spellStart"/>
      <w:r>
        <w:t>PfA</w:t>
      </w:r>
      <w:proofErr w:type="spellEnd"/>
      <w:r>
        <w:t xml:space="preserve"> YP are encouraged to appreciate the important of emotional regulation and to adopt communication strategies that better reflect their adult status. </w:t>
      </w:r>
    </w:p>
    <w:p w14:paraId="7C7F6333" w14:textId="42678D4B" w:rsidR="00101C21" w:rsidRDefault="00101C21" w:rsidP="00302772">
      <w:pPr>
        <w:pStyle w:val="ListParagraph"/>
        <w:numPr>
          <w:ilvl w:val="0"/>
          <w:numId w:val="1"/>
        </w:numPr>
      </w:pPr>
      <w:r>
        <w:t xml:space="preserve">Maintain and comply with health, safety and wellbeing legislation, policy and procedure at all times. </w:t>
      </w:r>
    </w:p>
    <w:p w14:paraId="4D904576" w14:textId="7699BBDE" w:rsidR="00101C21" w:rsidRDefault="00101C21" w:rsidP="00302772">
      <w:pPr>
        <w:pStyle w:val="ListParagraph"/>
        <w:numPr>
          <w:ilvl w:val="0"/>
          <w:numId w:val="1"/>
        </w:numPr>
      </w:pPr>
      <w:r>
        <w:t xml:space="preserve">Ensure currency in child protection and adult safeguarding, and compliance with Keeping Children Safe in Education. </w:t>
      </w:r>
    </w:p>
    <w:p w14:paraId="2A6EAE3A" w14:textId="77777777" w:rsidR="00BF14F6" w:rsidRDefault="00101C21" w:rsidP="00302772">
      <w:pPr>
        <w:pStyle w:val="ListParagraph"/>
        <w:numPr>
          <w:ilvl w:val="0"/>
          <w:numId w:val="1"/>
        </w:numPr>
      </w:pPr>
      <w:r>
        <w:t xml:space="preserve">Maintain professional curiosity and currency in teaching and assessment practice, </w:t>
      </w:r>
      <w:r w:rsidR="00DF6B52">
        <w:t>demonstrate</w:t>
      </w:r>
      <w:r>
        <w:t xml:space="preserve"> self-</w:t>
      </w:r>
      <w:r w:rsidR="00DF6B52">
        <w:t xml:space="preserve">reflective practice and an ethos </w:t>
      </w:r>
      <w:r w:rsidR="00BF14F6">
        <w:t xml:space="preserve">of continuous quality improvement. </w:t>
      </w:r>
    </w:p>
    <w:p w14:paraId="7915D347" w14:textId="77777777" w:rsidR="00BF14F6" w:rsidRDefault="00BF14F6" w:rsidP="00BF14F6">
      <w:pPr>
        <w:pStyle w:val="ListParagraph"/>
      </w:pPr>
    </w:p>
    <w:p w14:paraId="0ED9C1ED" w14:textId="77777777" w:rsidR="00BF14F6" w:rsidRDefault="00BF14F6" w:rsidP="00BF14F6">
      <w:pPr>
        <w:pStyle w:val="ListParagraph"/>
      </w:pPr>
    </w:p>
    <w:p w14:paraId="0DAB4F92" w14:textId="77777777" w:rsidR="00BF14F6" w:rsidRDefault="00BF14F6" w:rsidP="00BF14F6">
      <w:pPr>
        <w:pStyle w:val="ListParagraph"/>
      </w:pPr>
    </w:p>
    <w:p w14:paraId="407EED7A" w14:textId="77777777" w:rsidR="00BF14F6" w:rsidRDefault="00BF14F6" w:rsidP="00BF14F6">
      <w:pPr>
        <w:pStyle w:val="ListParagraph"/>
      </w:pPr>
    </w:p>
    <w:p w14:paraId="3EADE31C" w14:textId="77777777" w:rsidR="00BF14F6" w:rsidRDefault="00BF14F6" w:rsidP="00BF14F6">
      <w:pPr>
        <w:pStyle w:val="ListParagraph"/>
      </w:pPr>
    </w:p>
    <w:p w14:paraId="6DA32A8F" w14:textId="77777777" w:rsidR="00BF14F6" w:rsidRDefault="00BF14F6" w:rsidP="00BF14F6">
      <w:pPr>
        <w:pStyle w:val="ListParagraph"/>
      </w:pPr>
    </w:p>
    <w:p w14:paraId="724ECDC6" w14:textId="77777777" w:rsidR="00BF14F6" w:rsidRDefault="00BF14F6" w:rsidP="00BF14F6">
      <w:pPr>
        <w:pStyle w:val="ListParagraph"/>
      </w:pPr>
    </w:p>
    <w:p w14:paraId="2E190945" w14:textId="77777777" w:rsidR="00BF14F6" w:rsidRDefault="00BF14F6" w:rsidP="00BF14F6">
      <w:pPr>
        <w:pStyle w:val="ListParagraph"/>
      </w:pPr>
    </w:p>
    <w:p w14:paraId="486232F2" w14:textId="77777777" w:rsidR="00BF14F6" w:rsidRDefault="00BF14F6" w:rsidP="00BF14F6">
      <w:pPr>
        <w:pStyle w:val="ListParagraph"/>
      </w:pPr>
    </w:p>
    <w:p w14:paraId="665B7F6A" w14:textId="77777777" w:rsidR="00BF14F6" w:rsidRDefault="00BF14F6" w:rsidP="00BF14F6">
      <w:pPr>
        <w:pStyle w:val="ListParagraph"/>
      </w:pPr>
    </w:p>
    <w:p w14:paraId="689576C1" w14:textId="77777777" w:rsidR="00BF14F6" w:rsidRDefault="00BF14F6" w:rsidP="00BF14F6">
      <w:pPr>
        <w:pStyle w:val="ListParagraph"/>
      </w:pPr>
    </w:p>
    <w:p w14:paraId="2F77B242" w14:textId="77777777" w:rsidR="00BF14F6" w:rsidRDefault="00BF14F6" w:rsidP="00BF14F6">
      <w:pPr>
        <w:pStyle w:val="ListParagraph"/>
      </w:pPr>
    </w:p>
    <w:p w14:paraId="4146AC9A" w14:textId="77777777" w:rsidR="00BF14F6" w:rsidRDefault="00BF14F6" w:rsidP="00BF14F6">
      <w:pPr>
        <w:pStyle w:val="ListParagraph"/>
      </w:pPr>
    </w:p>
    <w:p w14:paraId="0D5ADBA5" w14:textId="77777777" w:rsidR="00BF14F6" w:rsidRDefault="00BF14F6" w:rsidP="00BF14F6">
      <w:pPr>
        <w:pStyle w:val="ListParagraph"/>
      </w:pPr>
    </w:p>
    <w:p w14:paraId="3ECBD7F9" w14:textId="77777777" w:rsidR="00BF14F6" w:rsidRDefault="00BF14F6" w:rsidP="00BF14F6">
      <w:pPr>
        <w:sectPr w:rsidR="00BF14F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A80EB32" w14:textId="042847E6" w:rsidR="00BF14F6" w:rsidRDefault="00BF14F6" w:rsidP="00BF14F6">
      <w:r>
        <w:lastRenderedPageBreak/>
        <w:t>Person Specification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51"/>
        <w:gridCol w:w="4650"/>
        <w:gridCol w:w="4647"/>
      </w:tblGrid>
      <w:tr w:rsidR="006D15D8" w14:paraId="7A428B8A" w14:textId="77777777" w:rsidTr="006D15D8">
        <w:tc>
          <w:tcPr>
            <w:tcW w:w="1667" w:type="pct"/>
          </w:tcPr>
          <w:p w14:paraId="65EDA37D" w14:textId="03652FF2" w:rsidR="006D15D8" w:rsidRDefault="006D15D8" w:rsidP="00BF14F6"/>
        </w:tc>
        <w:tc>
          <w:tcPr>
            <w:tcW w:w="1667" w:type="pct"/>
          </w:tcPr>
          <w:p w14:paraId="68A5DEFB" w14:textId="17BDD14D" w:rsidR="006D15D8" w:rsidRDefault="006D15D8" w:rsidP="00BF14F6">
            <w:r>
              <w:t>Essential</w:t>
            </w:r>
          </w:p>
        </w:tc>
        <w:tc>
          <w:tcPr>
            <w:tcW w:w="1667" w:type="pct"/>
          </w:tcPr>
          <w:p w14:paraId="3E682497" w14:textId="678783BB" w:rsidR="006D15D8" w:rsidRDefault="006D15D8" w:rsidP="00BF14F6">
            <w:r>
              <w:t>Desirable</w:t>
            </w:r>
          </w:p>
        </w:tc>
      </w:tr>
      <w:tr w:rsidR="006D15D8" w14:paraId="32EAF256" w14:textId="77777777" w:rsidTr="006D15D8">
        <w:tc>
          <w:tcPr>
            <w:tcW w:w="1667" w:type="pct"/>
          </w:tcPr>
          <w:p w14:paraId="65F02132" w14:textId="177F196C" w:rsidR="006D15D8" w:rsidRDefault="006D15D8" w:rsidP="00BF14F6">
            <w:r>
              <w:t>Qualifications</w:t>
            </w:r>
          </w:p>
        </w:tc>
        <w:tc>
          <w:tcPr>
            <w:tcW w:w="1667" w:type="pct"/>
          </w:tcPr>
          <w:p w14:paraId="4D11F741" w14:textId="77777777" w:rsidR="006D15D8" w:rsidRPr="00F01487" w:rsidRDefault="006D15D8" w:rsidP="00BF14F6">
            <w:pPr>
              <w:pStyle w:val="ListParagraph"/>
              <w:numPr>
                <w:ilvl w:val="0"/>
                <w:numId w:val="2"/>
              </w:numPr>
            </w:pPr>
            <w:r>
              <w:t xml:space="preserve">PGCE, CertEd, or qualified by experience. </w:t>
            </w:r>
            <w:r w:rsidRPr="00F01487">
              <w:rPr>
                <w:i/>
                <w:iCs/>
              </w:rPr>
              <w:t>QTLS or QTS preferred</w:t>
            </w:r>
          </w:p>
          <w:p w14:paraId="2D5D1DF4" w14:textId="6852F7C0" w:rsidR="006D15D8" w:rsidRDefault="006D15D8" w:rsidP="00BF14F6">
            <w:pPr>
              <w:pStyle w:val="ListParagraph"/>
              <w:numPr>
                <w:ilvl w:val="0"/>
                <w:numId w:val="2"/>
              </w:numPr>
            </w:pPr>
            <w:r>
              <w:t xml:space="preserve">Appropriate technical and </w:t>
            </w:r>
            <w:r w:rsidR="00785956">
              <w:t>vocational qualifications at Level 3 or above</w:t>
            </w:r>
          </w:p>
          <w:p w14:paraId="483662F1" w14:textId="5CD889BA" w:rsidR="00785956" w:rsidRDefault="00785956" w:rsidP="00BF14F6">
            <w:pPr>
              <w:pStyle w:val="ListParagraph"/>
              <w:numPr>
                <w:ilvl w:val="0"/>
                <w:numId w:val="2"/>
              </w:numPr>
            </w:pPr>
            <w:r>
              <w:t>Pass or above in English and maths at level 2 or above (GSCSE level 2 or functional skills pass)</w:t>
            </w:r>
          </w:p>
        </w:tc>
        <w:tc>
          <w:tcPr>
            <w:tcW w:w="1667" w:type="pct"/>
          </w:tcPr>
          <w:p w14:paraId="53E07AB8" w14:textId="77777777" w:rsidR="006D15D8" w:rsidRDefault="00785956" w:rsidP="00785956">
            <w:pPr>
              <w:pStyle w:val="ListParagraph"/>
              <w:numPr>
                <w:ilvl w:val="0"/>
                <w:numId w:val="2"/>
              </w:numPr>
            </w:pPr>
            <w:r>
              <w:t>Certification in specialist education including autism, ADHD and learning difficulties</w:t>
            </w:r>
          </w:p>
          <w:p w14:paraId="676D18A4" w14:textId="77777777" w:rsidR="00785956" w:rsidRDefault="00785956" w:rsidP="00785956">
            <w:pPr>
              <w:pStyle w:val="ListParagraph"/>
              <w:numPr>
                <w:ilvl w:val="0"/>
                <w:numId w:val="2"/>
              </w:numPr>
            </w:pPr>
            <w:r>
              <w:t xml:space="preserve">Have or willing to work towards Positive Behaviour Support and intervention training. </w:t>
            </w:r>
          </w:p>
          <w:p w14:paraId="697E80FA" w14:textId="0C67CC6D" w:rsidR="00F30309" w:rsidRDefault="00F30309" w:rsidP="00785956">
            <w:pPr>
              <w:pStyle w:val="ListParagraph"/>
              <w:numPr>
                <w:ilvl w:val="0"/>
                <w:numId w:val="2"/>
              </w:numPr>
            </w:pPr>
            <w:r>
              <w:t>Makaton or PECs experienced</w:t>
            </w:r>
          </w:p>
        </w:tc>
      </w:tr>
      <w:tr w:rsidR="006D15D8" w14:paraId="0FC70874" w14:textId="77777777" w:rsidTr="006D15D8">
        <w:tc>
          <w:tcPr>
            <w:tcW w:w="1667" w:type="pct"/>
          </w:tcPr>
          <w:p w14:paraId="7A5F9625" w14:textId="7CA2C50B" w:rsidR="006D15D8" w:rsidRDefault="006D15D8" w:rsidP="00BF14F6">
            <w:r>
              <w:t>Experience</w:t>
            </w:r>
          </w:p>
        </w:tc>
        <w:tc>
          <w:tcPr>
            <w:tcW w:w="1667" w:type="pct"/>
          </w:tcPr>
          <w:p w14:paraId="43DD5B90" w14:textId="77777777" w:rsidR="006D15D8" w:rsidRDefault="00785956" w:rsidP="00785956">
            <w:pPr>
              <w:pStyle w:val="ListParagraph"/>
              <w:numPr>
                <w:ilvl w:val="0"/>
                <w:numId w:val="3"/>
              </w:numPr>
            </w:pPr>
            <w:r>
              <w:t>Experience of teaching in early years, primary or post 16 education</w:t>
            </w:r>
          </w:p>
          <w:p w14:paraId="70BDBF42" w14:textId="77777777" w:rsidR="00785956" w:rsidRDefault="00785956" w:rsidP="00785956">
            <w:pPr>
              <w:pStyle w:val="ListParagraph"/>
              <w:numPr>
                <w:ilvl w:val="0"/>
                <w:numId w:val="3"/>
              </w:numPr>
            </w:pPr>
            <w:r>
              <w:t>Planning, delivering and assessment experience that can support differentiation and inclusion at a personalised level</w:t>
            </w:r>
          </w:p>
          <w:p w14:paraId="5E9676DC" w14:textId="77777777" w:rsidR="00785956" w:rsidRDefault="00785956" w:rsidP="00785956">
            <w:pPr>
              <w:pStyle w:val="ListParagraph"/>
              <w:numPr>
                <w:ilvl w:val="0"/>
                <w:numId w:val="3"/>
              </w:numPr>
            </w:pPr>
            <w:r>
              <w:t>Leading learning including effective deployment of Teaching Assistants to promote confidence and self-belief in learners and promote independence.</w:t>
            </w:r>
          </w:p>
          <w:p w14:paraId="76162381" w14:textId="77777777" w:rsidR="00785956" w:rsidRDefault="00785956" w:rsidP="00785956">
            <w:pPr>
              <w:pStyle w:val="ListParagraph"/>
              <w:numPr>
                <w:ilvl w:val="0"/>
                <w:numId w:val="3"/>
              </w:numPr>
            </w:pPr>
            <w:r>
              <w:t>Maintaining records using an MIS or CRM system</w:t>
            </w:r>
          </w:p>
          <w:p w14:paraId="21D0D546" w14:textId="06332FCC" w:rsidR="00785956" w:rsidRDefault="00785956" w:rsidP="00785956">
            <w:pPr>
              <w:pStyle w:val="ListParagraph"/>
              <w:numPr>
                <w:ilvl w:val="0"/>
                <w:numId w:val="3"/>
              </w:numPr>
            </w:pPr>
            <w:r>
              <w:t>Representing the organisation in annual review and careers events</w:t>
            </w:r>
            <w:r w:rsidR="00F30309">
              <w:t xml:space="preserve"> and activity</w:t>
            </w:r>
          </w:p>
          <w:p w14:paraId="400FFF87" w14:textId="289DE46E" w:rsidR="00785956" w:rsidRDefault="00785956" w:rsidP="00F30309">
            <w:pPr>
              <w:ind w:left="360"/>
            </w:pPr>
          </w:p>
        </w:tc>
        <w:tc>
          <w:tcPr>
            <w:tcW w:w="1667" w:type="pct"/>
          </w:tcPr>
          <w:p w14:paraId="1A1ECDBE" w14:textId="48950C21" w:rsidR="006D15D8" w:rsidRDefault="00785956" w:rsidP="00785956">
            <w:pPr>
              <w:pStyle w:val="ListParagraph"/>
              <w:numPr>
                <w:ilvl w:val="0"/>
                <w:numId w:val="3"/>
              </w:numPr>
            </w:pPr>
            <w:r>
              <w:t>An interest in independent living skills</w:t>
            </w:r>
          </w:p>
          <w:p w14:paraId="5EC43131" w14:textId="77777777" w:rsidR="00785956" w:rsidRDefault="00785956" w:rsidP="00785956">
            <w:pPr>
              <w:pStyle w:val="ListParagraph"/>
              <w:numPr>
                <w:ilvl w:val="0"/>
                <w:numId w:val="3"/>
              </w:numPr>
            </w:pPr>
            <w:r>
              <w:t>An interest or experience in non-accredited outcomes to learning (RARPA)</w:t>
            </w:r>
          </w:p>
          <w:p w14:paraId="40CAC213" w14:textId="79A0D389" w:rsidR="00F30309" w:rsidRDefault="00F30309" w:rsidP="00F30309">
            <w:pPr>
              <w:ind w:left="360"/>
            </w:pPr>
          </w:p>
        </w:tc>
      </w:tr>
      <w:tr w:rsidR="006D15D8" w14:paraId="3CA3DE7D" w14:textId="77777777" w:rsidTr="006D15D8">
        <w:tc>
          <w:tcPr>
            <w:tcW w:w="1667" w:type="pct"/>
          </w:tcPr>
          <w:p w14:paraId="619BFE97" w14:textId="7542A3D9" w:rsidR="006D15D8" w:rsidRDefault="006D15D8" w:rsidP="00BF14F6">
            <w:r>
              <w:t>Knowledge</w:t>
            </w:r>
          </w:p>
        </w:tc>
        <w:tc>
          <w:tcPr>
            <w:tcW w:w="1667" w:type="pct"/>
          </w:tcPr>
          <w:p w14:paraId="072040CF" w14:textId="77777777" w:rsidR="006D15D8" w:rsidRDefault="00F30309" w:rsidP="00F30309">
            <w:pPr>
              <w:pStyle w:val="ListParagraph"/>
              <w:numPr>
                <w:ilvl w:val="0"/>
                <w:numId w:val="3"/>
              </w:numPr>
            </w:pPr>
            <w:r>
              <w:t>Empathy and understanding of young people who live with special educational needs and disabilities</w:t>
            </w:r>
          </w:p>
          <w:p w14:paraId="593AC27C" w14:textId="77777777" w:rsidR="00F30309" w:rsidRDefault="00F30309" w:rsidP="00F30309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 xml:space="preserve">Have or demonstrate a willingness to develop a depth of understanding living with complex autism and ADHD </w:t>
            </w:r>
          </w:p>
          <w:p w14:paraId="3882C664" w14:textId="264872EB" w:rsidR="00F30309" w:rsidRDefault="00F30309" w:rsidP="00F30309">
            <w:pPr>
              <w:pStyle w:val="ListParagraph"/>
              <w:numPr>
                <w:ilvl w:val="0"/>
                <w:numId w:val="3"/>
              </w:numPr>
            </w:pPr>
            <w:r>
              <w:t>An understanding of the Prevent Duty in Education, Keeping Children Safe in Education, British Values and the fundamental principles of safeguarding vulnerable young people</w:t>
            </w:r>
          </w:p>
        </w:tc>
        <w:tc>
          <w:tcPr>
            <w:tcW w:w="1667" w:type="pct"/>
          </w:tcPr>
          <w:p w14:paraId="43572511" w14:textId="777353A6" w:rsidR="006D15D8" w:rsidRDefault="00F30309" w:rsidP="00F30309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An understanding of Total Communication or a range of communication strategies.</w:t>
            </w:r>
          </w:p>
          <w:p w14:paraId="245934B7" w14:textId="2ABBF8BD" w:rsidR="00F30309" w:rsidRDefault="00F30309" w:rsidP="00F30309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Appreciation of the importance of sensory assessments and the impact of having an appropriate sensory diet</w:t>
            </w:r>
          </w:p>
          <w:p w14:paraId="6416A599" w14:textId="77777777" w:rsidR="00F30309" w:rsidRDefault="00F30309" w:rsidP="00F30309">
            <w:pPr>
              <w:ind w:left="360"/>
            </w:pPr>
          </w:p>
          <w:p w14:paraId="0C01B483" w14:textId="5C6E90CF" w:rsidR="00F30309" w:rsidRDefault="00F30309" w:rsidP="00BF14F6"/>
        </w:tc>
      </w:tr>
      <w:tr w:rsidR="006D15D8" w14:paraId="43ECC86F" w14:textId="77777777" w:rsidTr="006D15D8">
        <w:tc>
          <w:tcPr>
            <w:tcW w:w="1667" w:type="pct"/>
          </w:tcPr>
          <w:p w14:paraId="346E162A" w14:textId="6A312E0C" w:rsidR="006D15D8" w:rsidRDefault="006D15D8" w:rsidP="00BF14F6">
            <w:r>
              <w:lastRenderedPageBreak/>
              <w:t>Skills</w:t>
            </w:r>
          </w:p>
        </w:tc>
        <w:tc>
          <w:tcPr>
            <w:tcW w:w="1667" w:type="pct"/>
          </w:tcPr>
          <w:p w14:paraId="19E1119F" w14:textId="77777777" w:rsidR="00F30309" w:rsidRDefault="00F30309" w:rsidP="00F30309">
            <w:pPr>
              <w:pStyle w:val="ListParagraph"/>
              <w:numPr>
                <w:ilvl w:val="0"/>
                <w:numId w:val="4"/>
              </w:numPr>
            </w:pPr>
            <w:r>
              <w:t>Emotionally intuitive, likes people and understanding equity and social measures of equality</w:t>
            </w:r>
          </w:p>
          <w:p w14:paraId="68CE851B" w14:textId="77777777" w:rsidR="00F30309" w:rsidRDefault="00F30309" w:rsidP="00F30309">
            <w:pPr>
              <w:pStyle w:val="ListParagraph"/>
              <w:numPr>
                <w:ilvl w:val="0"/>
                <w:numId w:val="4"/>
              </w:numPr>
            </w:pPr>
            <w:r>
              <w:t>Excellent, proven communicator</w:t>
            </w:r>
          </w:p>
          <w:p w14:paraId="59779C9D" w14:textId="77777777" w:rsidR="00F30309" w:rsidRDefault="00F30309" w:rsidP="00F30309">
            <w:pPr>
              <w:pStyle w:val="ListParagraph"/>
              <w:numPr>
                <w:ilvl w:val="0"/>
                <w:numId w:val="4"/>
              </w:numPr>
            </w:pPr>
            <w:r>
              <w:t>Resilient, capable and can-do approach</w:t>
            </w:r>
          </w:p>
          <w:p w14:paraId="21C24439" w14:textId="77777777" w:rsidR="006D15D8" w:rsidRDefault="00F30309" w:rsidP="00F30309">
            <w:pPr>
              <w:pStyle w:val="ListParagraph"/>
              <w:numPr>
                <w:ilvl w:val="0"/>
                <w:numId w:val="4"/>
              </w:numPr>
            </w:pPr>
            <w:r>
              <w:t xml:space="preserve">Organised, flexible and effective communicator.  </w:t>
            </w:r>
          </w:p>
          <w:p w14:paraId="7E55251E" w14:textId="34C003B8" w:rsidR="00F30309" w:rsidRDefault="00F30309" w:rsidP="00F30309">
            <w:pPr>
              <w:pStyle w:val="ListParagraph"/>
              <w:numPr>
                <w:ilvl w:val="0"/>
                <w:numId w:val="4"/>
              </w:numPr>
            </w:pPr>
            <w:r>
              <w:t xml:space="preserve">Proficient user of commonly available </w:t>
            </w:r>
            <w:proofErr w:type="gramStart"/>
            <w:r>
              <w:t>It</w:t>
            </w:r>
            <w:proofErr w:type="gramEnd"/>
            <w:r>
              <w:t xml:space="preserve"> software</w:t>
            </w:r>
          </w:p>
        </w:tc>
        <w:tc>
          <w:tcPr>
            <w:tcW w:w="1667" w:type="pct"/>
          </w:tcPr>
          <w:p w14:paraId="237DE444" w14:textId="77777777" w:rsidR="006D15D8" w:rsidRDefault="006D15D8" w:rsidP="00BF14F6"/>
        </w:tc>
      </w:tr>
      <w:tr w:rsidR="006D15D8" w14:paraId="412B0866" w14:textId="77777777" w:rsidTr="006D15D8">
        <w:tc>
          <w:tcPr>
            <w:tcW w:w="1667" w:type="pct"/>
          </w:tcPr>
          <w:p w14:paraId="408C1FD6" w14:textId="192EF597" w:rsidR="006D15D8" w:rsidRDefault="006D15D8" w:rsidP="00BF14F6">
            <w:r>
              <w:t>Other</w:t>
            </w:r>
          </w:p>
        </w:tc>
        <w:tc>
          <w:tcPr>
            <w:tcW w:w="1667" w:type="pct"/>
          </w:tcPr>
          <w:p w14:paraId="5AAE1B53" w14:textId="77777777" w:rsidR="006D15D8" w:rsidRDefault="006D15D8" w:rsidP="00BF14F6"/>
        </w:tc>
        <w:tc>
          <w:tcPr>
            <w:tcW w:w="1667" w:type="pct"/>
          </w:tcPr>
          <w:p w14:paraId="645B1D09" w14:textId="77777777" w:rsidR="006D15D8" w:rsidRDefault="006D15D8" w:rsidP="00BF14F6"/>
        </w:tc>
      </w:tr>
    </w:tbl>
    <w:p w14:paraId="764F6F0C" w14:textId="77777777" w:rsidR="00BF14F6" w:rsidRDefault="00BF14F6" w:rsidP="00BF14F6"/>
    <w:p w14:paraId="7AF9ADF9" w14:textId="71A8F9B8" w:rsidR="00101C21" w:rsidRDefault="00DF6B52" w:rsidP="00BF14F6">
      <w:pPr>
        <w:pStyle w:val="ListParagraph"/>
      </w:pPr>
      <w:r>
        <w:t xml:space="preserve"> </w:t>
      </w:r>
    </w:p>
    <w:sectPr w:rsidR="00101C21" w:rsidSect="00BF14F6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D497A"/>
    <w:multiLevelType w:val="hybridMultilevel"/>
    <w:tmpl w:val="0C626BA8"/>
    <w:lvl w:ilvl="0" w:tplc="DF50B47C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42CB6"/>
    <w:multiLevelType w:val="hybridMultilevel"/>
    <w:tmpl w:val="EB78D79C"/>
    <w:lvl w:ilvl="0" w:tplc="DF50B47C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13BDA"/>
    <w:multiLevelType w:val="hybridMultilevel"/>
    <w:tmpl w:val="5CD4BBEC"/>
    <w:lvl w:ilvl="0" w:tplc="DF50B47C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83BDA"/>
    <w:multiLevelType w:val="hybridMultilevel"/>
    <w:tmpl w:val="AFD6127C"/>
    <w:lvl w:ilvl="0" w:tplc="DF50B47C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131"/>
    <w:rsid w:val="00101C21"/>
    <w:rsid w:val="001F3F37"/>
    <w:rsid w:val="002A17C6"/>
    <w:rsid w:val="00302772"/>
    <w:rsid w:val="00481F30"/>
    <w:rsid w:val="006D15D8"/>
    <w:rsid w:val="00785956"/>
    <w:rsid w:val="00931131"/>
    <w:rsid w:val="00BF14F6"/>
    <w:rsid w:val="00DF6B52"/>
    <w:rsid w:val="00F01487"/>
    <w:rsid w:val="00F3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73CDA"/>
  <w15:chartTrackingRefBased/>
  <w15:docId w15:val="{DF60C37D-7E91-42E5-9D39-94681E40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1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1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1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1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1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1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1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1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1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1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1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1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1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1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1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11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1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1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13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F1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885</Words>
  <Characters>5049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Johnson</dc:creator>
  <cp:keywords/>
  <dc:description/>
  <cp:lastModifiedBy>Parneet Dhillon</cp:lastModifiedBy>
  <cp:revision>2</cp:revision>
  <dcterms:created xsi:type="dcterms:W3CDTF">2026-03-19T08:46:00Z</dcterms:created>
  <dcterms:modified xsi:type="dcterms:W3CDTF">2026-03-19T08:46:00Z</dcterms:modified>
</cp:coreProperties>
</file>